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A0" w:rsidRDefault="00F212A0" w:rsidP="00F212A0">
      <w:pPr>
        <w:pStyle w:val="font8"/>
        <w:jc w:val="both"/>
      </w:pPr>
      <w:r>
        <w:rPr>
          <w:b/>
          <w:bCs/>
        </w:rPr>
        <w:t xml:space="preserve">Проектная </w:t>
      </w:r>
      <w:proofErr w:type="gramStart"/>
      <w:r>
        <w:rPr>
          <w:b/>
          <w:bCs/>
        </w:rPr>
        <w:t>декларация  от</w:t>
      </w:r>
      <w:proofErr w:type="gramEnd"/>
      <w:r>
        <w:rPr>
          <w:b/>
          <w:bCs/>
        </w:rPr>
        <w:t xml:space="preserve"> 19.11.2014 г. По строительству группы жилых домов с объектами сервиса. 1-я и 2-я очереди </w:t>
      </w:r>
      <w:proofErr w:type="gramStart"/>
      <w:r>
        <w:rPr>
          <w:b/>
          <w:bCs/>
        </w:rPr>
        <w:t>строительства  по</w:t>
      </w:r>
      <w:proofErr w:type="gramEnd"/>
      <w:r>
        <w:rPr>
          <w:b/>
          <w:bCs/>
        </w:rPr>
        <w:t xml:space="preserve"> адресу: Иркутская область, г. Иркутск, Куйбышевский район, м-н </w:t>
      </w:r>
      <w:proofErr w:type="spellStart"/>
      <w:r>
        <w:rPr>
          <w:b/>
          <w:bCs/>
        </w:rPr>
        <w:t>Топкинский</w:t>
      </w:r>
      <w:proofErr w:type="spellEnd"/>
      <w:r>
        <w:rPr>
          <w:b/>
          <w:bCs/>
        </w:rPr>
        <w:t>.</w:t>
      </w:r>
    </w:p>
    <w:p w:rsidR="00F212A0" w:rsidRDefault="00F212A0" w:rsidP="00F212A0">
      <w:pPr>
        <w:pStyle w:val="font8"/>
        <w:jc w:val="both"/>
      </w:pPr>
      <w:r>
        <w:t> </w:t>
      </w:r>
    </w:p>
    <w:p w:rsidR="00F212A0" w:rsidRDefault="00F212A0" w:rsidP="00F212A0">
      <w:pPr>
        <w:pStyle w:val="font8"/>
        <w:jc w:val="both"/>
      </w:pPr>
      <w:r>
        <w:t>1. Информация о застройщике.</w:t>
      </w:r>
    </w:p>
    <w:p w:rsidR="00F212A0" w:rsidRDefault="00F212A0" w:rsidP="00F212A0">
      <w:pPr>
        <w:pStyle w:val="font8"/>
        <w:jc w:val="both"/>
      </w:pPr>
      <w:r>
        <w:t>1.1. О фирменном наименовании и месте нахождения застройщика.</w:t>
      </w:r>
    </w:p>
    <w:p w:rsidR="00F212A0" w:rsidRDefault="00F212A0" w:rsidP="00F212A0">
      <w:pPr>
        <w:pStyle w:val="font8"/>
        <w:jc w:val="both"/>
      </w:pPr>
      <w:r>
        <w:t xml:space="preserve">а) полное фирменное наименование на русском языке: Общество с ограниченной ответственностью Финансовая </w:t>
      </w:r>
      <w:proofErr w:type="gramStart"/>
      <w:r>
        <w:t>Компания  «</w:t>
      </w:r>
      <w:proofErr w:type="gramEnd"/>
      <w:r>
        <w:t>Деловые инвестиции»;</w:t>
      </w:r>
    </w:p>
    <w:p w:rsidR="00F212A0" w:rsidRDefault="00F212A0" w:rsidP="00F212A0">
      <w:pPr>
        <w:pStyle w:val="font8"/>
        <w:jc w:val="both"/>
      </w:pPr>
      <w:r>
        <w:t xml:space="preserve">б) сокращенное фирменное наименование на русском </w:t>
      </w:r>
      <w:proofErr w:type="gramStart"/>
      <w:r>
        <w:t>языке:  ООО</w:t>
      </w:r>
      <w:proofErr w:type="gramEnd"/>
      <w:r>
        <w:t xml:space="preserve"> ФК «Деловые инвестиции»;</w:t>
      </w:r>
    </w:p>
    <w:p w:rsidR="00F212A0" w:rsidRDefault="00F212A0" w:rsidP="00F212A0">
      <w:pPr>
        <w:pStyle w:val="font8"/>
        <w:jc w:val="both"/>
      </w:pPr>
      <w:r>
        <w:t xml:space="preserve">в) место нахождения: Российская </w:t>
      </w:r>
      <w:proofErr w:type="gramStart"/>
      <w:r>
        <w:t>Федерация,  г.</w:t>
      </w:r>
      <w:proofErr w:type="gramEnd"/>
      <w:r>
        <w:t xml:space="preserve"> Иркутск;</w:t>
      </w:r>
    </w:p>
    <w:p w:rsidR="00F212A0" w:rsidRDefault="00F212A0" w:rsidP="00F212A0">
      <w:pPr>
        <w:pStyle w:val="font8"/>
        <w:jc w:val="both"/>
      </w:pPr>
      <w:r>
        <w:t>г) почтовый адрес: 664025, г. Иркутск, ул. Бограда, д. 2, оф 19</w:t>
      </w:r>
    </w:p>
    <w:p w:rsidR="00F212A0" w:rsidRDefault="00F212A0" w:rsidP="00F212A0">
      <w:pPr>
        <w:pStyle w:val="font8"/>
        <w:jc w:val="both"/>
      </w:pPr>
      <w:r>
        <w:t> </w:t>
      </w:r>
    </w:p>
    <w:p w:rsidR="00F212A0" w:rsidRDefault="00F212A0" w:rsidP="00F212A0">
      <w:pPr>
        <w:pStyle w:val="font8"/>
        <w:jc w:val="both"/>
      </w:pPr>
      <w:r>
        <w:t>1.1.1. Юридический адрес: Российская Федерация, 664003, Иркутская область, г. Иркутск, ул. Карла Маркса, 30.</w:t>
      </w:r>
    </w:p>
    <w:p w:rsidR="00F212A0" w:rsidRDefault="00F212A0" w:rsidP="00F212A0">
      <w:pPr>
        <w:pStyle w:val="font8"/>
        <w:jc w:val="both"/>
      </w:pPr>
      <w:r>
        <w:t>1.1.2. Фактический адрес: Российская Федерация, 664025, Иркутская область, г. Иркутск, ул. Бограда, д. 2, оф 19</w:t>
      </w:r>
    </w:p>
    <w:p w:rsidR="00F212A0" w:rsidRDefault="00F212A0" w:rsidP="00F212A0">
      <w:pPr>
        <w:pStyle w:val="font8"/>
        <w:jc w:val="both"/>
      </w:pPr>
      <w:r>
        <w:t>1.1.3. Телефон, факс (эл. адрес):</w:t>
      </w:r>
    </w:p>
    <w:p w:rsidR="00F212A0" w:rsidRDefault="00F212A0" w:rsidP="00F212A0">
      <w:pPr>
        <w:pStyle w:val="font8"/>
        <w:numPr>
          <w:ilvl w:val="0"/>
          <w:numId w:val="1"/>
        </w:numPr>
        <w:jc w:val="both"/>
      </w:pPr>
      <w:r>
        <w:rPr>
          <w:b/>
          <w:bCs/>
        </w:rPr>
        <w:t>Приемная (3952) 200-080, 202-100.</w:t>
      </w:r>
    </w:p>
    <w:p w:rsidR="00F212A0" w:rsidRDefault="00F212A0" w:rsidP="00F212A0">
      <w:pPr>
        <w:pStyle w:val="font8"/>
        <w:numPr>
          <w:ilvl w:val="0"/>
          <w:numId w:val="1"/>
        </w:numPr>
        <w:jc w:val="both"/>
      </w:pPr>
      <w:r>
        <w:rPr>
          <w:b/>
          <w:bCs/>
        </w:rPr>
        <w:t xml:space="preserve">Отдел по работе с </w:t>
      </w:r>
      <w:proofErr w:type="gramStart"/>
      <w:r>
        <w:rPr>
          <w:b/>
          <w:bCs/>
        </w:rPr>
        <w:t>недвижимостью  (</w:t>
      </w:r>
      <w:proofErr w:type="gramEnd"/>
      <w:r>
        <w:rPr>
          <w:b/>
          <w:bCs/>
        </w:rPr>
        <w:t>3952) 200-080, 202-100</w:t>
      </w:r>
    </w:p>
    <w:p w:rsidR="00F212A0" w:rsidRDefault="00F212A0" w:rsidP="00F212A0">
      <w:pPr>
        <w:pStyle w:val="font8"/>
        <w:numPr>
          <w:ilvl w:val="0"/>
          <w:numId w:val="1"/>
        </w:numPr>
        <w:jc w:val="both"/>
      </w:pPr>
      <w:r>
        <w:rPr>
          <w:b/>
          <w:bCs/>
        </w:rPr>
        <w:t>факс: (3952) 200-080</w:t>
      </w:r>
    </w:p>
    <w:p w:rsidR="00F212A0" w:rsidRDefault="00F212A0" w:rsidP="00F212A0">
      <w:pPr>
        <w:pStyle w:val="font8"/>
        <w:jc w:val="both"/>
      </w:pPr>
      <w:r>
        <w:t>эл. адрес: mihail.doshin@yandex.ru</w:t>
      </w:r>
    </w:p>
    <w:p w:rsidR="00F212A0" w:rsidRDefault="00F212A0" w:rsidP="00F212A0">
      <w:pPr>
        <w:pStyle w:val="font8"/>
        <w:jc w:val="both"/>
      </w:pPr>
      <w:r>
        <w:t> </w:t>
      </w:r>
    </w:p>
    <w:p w:rsidR="00F212A0" w:rsidRDefault="00F212A0" w:rsidP="00F212A0">
      <w:pPr>
        <w:pStyle w:val="font8"/>
        <w:jc w:val="both"/>
      </w:pPr>
      <w:r>
        <w:t xml:space="preserve">1.1.4.  Режим </w:t>
      </w:r>
      <w:proofErr w:type="gramStart"/>
      <w:r>
        <w:t>работы:  пн.</w:t>
      </w:r>
      <w:proofErr w:type="gramEnd"/>
      <w:r>
        <w:t>- пт.  с 09-00 до 18-00 без перерыва</w:t>
      </w:r>
      <w:r>
        <w:br/>
        <w:t> </w:t>
      </w:r>
    </w:p>
    <w:p w:rsidR="00F212A0" w:rsidRDefault="00F212A0" w:rsidP="00F212A0">
      <w:pPr>
        <w:pStyle w:val="font8"/>
        <w:jc w:val="both"/>
      </w:pPr>
      <w:r>
        <w:t>1.2. О государственной регистрации застройщика.</w:t>
      </w:r>
    </w:p>
    <w:p w:rsidR="00F212A0" w:rsidRDefault="00F212A0" w:rsidP="00F212A0">
      <w:pPr>
        <w:pStyle w:val="font8"/>
        <w:jc w:val="both"/>
      </w:pPr>
      <w:r>
        <w:t>1.2.1. Данные о государственной регистрации:</w:t>
      </w:r>
    </w:p>
    <w:p w:rsidR="00F212A0" w:rsidRDefault="00F212A0" w:rsidP="00F212A0">
      <w:pPr>
        <w:pStyle w:val="font8"/>
        <w:jc w:val="both"/>
      </w:pPr>
      <w:r>
        <w:t xml:space="preserve">свидетельство о государственной регистрации от 17 </w:t>
      </w:r>
      <w:proofErr w:type="gramStart"/>
      <w:r>
        <w:t>декабря  2009</w:t>
      </w:r>
      <w:proofErr w:type="gramEnd"/>
      <w:r>
        <w:t xml:space="preserve"> года серия 38 № 003132762 выдано Межрайонной инспекцией Федеральной налоговой службы №17 по Иркутской области</w:t>
      </w:r>
      <w:r>
        <w:br/>
        <w:t>ОГРН 1093850030801</w:t>
      </w:r>
    </w:p>
    <w:p w:rsidR="00F212A0" w:rsidRDefault="00F212A0" w:rsidP="00F212A0">
      <w:pPr>
        <w:pStyle w:val="font8"/>
        <w:jc w:val="both"/>
      </w:pPr>
      <w:r>
        <w:t> </w:t>
      </w:r>
    </w:p>
    <w:p w:rsidR="00F212A0" w:rsidRDefault="00F212A0" w:rsidP="00F212A0">
      <w:pPr>
        <w:pStyle w:val="font8"/>
        <w:jc w:val="both"/>
      </w:pPr>
      <w:r>
        <w:lastRenderedPageBreak/>
        <w:t>1.2.2. Данные о постановке на учет в налоговом органе:</w:t>
      </w:r>
    </w:p>
    <w:p w:rsidR="00F212A0" w:rsidRDefault="00F212A0" w:rsidP="00F212A0">
      <w:pPr>
        <w:pStyle w:val="font8"/>
        <w:jc w:val="both"/>
      </w:pPr>
      <w:r>
        <w:t xml:space="preserve">свидетельство о постановке на учет Российской </w:t>
      </w:r>
      <w:proofErr w:type="gramStart"/>
      <w:r>
        <w:t>организации  в</w:t>
      </w:r>
      <w:proofErr w:type="gramEnd"/>
      <w:r>
        <w:t xml:space="preserve"> налоговом органе по месту нахождения на территории Российской Федерации Серия 38 № 003472000 от 17.12.2009 г. выдано  ИФНС  по Правобережному округу г. Иркутска ИНН 3808211255  КПП 380801001</w:t>
      </w:r>
    </w:p>
    <w:p w:rsidR="00F212A0" w:rsidRDefault="00F212A0" w:rsidP="00F212A0">
      <w:pPr>
        <w:pStyle w:val="font8"/>
        <w:jc w:val="both"/>
      </w:pPr>
      <w:r>
        <w:t> </w:t>
      </w:r>
    </w:p>
    <w:p w:rsidR="00F212A0" w:rsidRDefault="00F212A0" w:rsidP="00F212A0">
      <w:pPr>
        <w:pStyle w:val="font8"/>
        <w:jc w:val="both"/>
      </w:pPr>
      <w:r>
        <w:t>1.3. Об учредителях застройщика.</w:t>
      </w:r>
    </w:p>
    <w:p w:rsidR="00F212A0" w:rsidRDefault="00F212A0" w:rsidP="00F212A0">
      <w:pPr>
        <w:pStyle w:val="font8"/>
        <w:jc w:val="both"/>
      </w:pPr>
      <w:r>
        <w:t>Учредители</w:t>
      </w:r>
      <w:proofErr w:type="gramStart"/>
      <w:r>
        <w:t>   (</w:t>
      </w:r>
      <w:proofErr w:type="gramEnd"/>
      <w:r>
        <w:t>участники)   застройщика,   которые    обладают   пятью   и   более процентами голосов в органе управления юридического лица:</w:t>
      </w:r>
    </w:p>
    <w:p w:rsidR="00F212A0" w:rsidRDefault="00F212A0" w:rsidP="00F212A0">
      <w:pPr>
        <w:pStyle w:val="font8"/>
        <w:numPr>
          <w:ilvl w:val="0"/>
          <w:numId w:val="2"/>
        </w:numPr>
        <w:jc w:val="both"/>
      </w:pPr>
      <w:proofErr w:type="spellStart"/>
      <w:r>
        <w:rPr>
          <w:b/>
          <w:bCs/>
        </w:rPr>
        <w:t>Панишев</w:t>
      </w:r>
      <w:proofErr w:type="spellEnd"/>
      <w:r>
        <w:rPr>
          <w:b/>
          <w:bCs/>
        </w:rPr>
        <w:t xml:space="preserve"> Денис Сергеевич – 100%;</w:t>
      </w:r>
    </w:p>
    <w:p w:rsidR="00F212A0" w:rsidRDefault="00F212A0" w:rsidP="00F212A0">
      <w:pPr>
        <w:pStyle w:val="font8"/>
        <w:jc w:val="both"/>
      </w:pPr>
      <w:r>
        <w:t> </w:t>
      </w:r>
    </w:p>
    <w:p w:rsidR="00F212A0" w:rsidRDefault="00F212A0" w:rsidP="00F212A0">
      <w:pPr>
        <w:pStyle w:val="font8"/>
        <w:jc w:val="both"/>
      </w:pPr>
      <w: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p>
    <w:p w:rsidR="00F212A0" w:rsidRDefault="00F212A0" w:rsidP="00F212A0">
      <w:pPr>
        <w:pStyle w:val="font8"/>
        <w:jc w:val="both"/>
      </w:pPr>
      <w:r>
        <w:t>Застройщик в проектах строительства многоквартирных домов в течении трех лет, предшествующих опубликованию проектной декларации, участия ранее не принимал.</w:t>
      </w:r>
    </w:p>
    <w:p w:rsidR="00F212A0" w:rsidRDefault="00F212A0" w:rsidP="00F212A0">
      <w:pPr>
        <w:pStyle w:val="font8"/>
        <w:jc w:val="both"/>
      </w:pPr>
      <w:r>
        <w:t> </w:t>
      </w:r>
    </w:p>
    <w:p w:rsidR="00F212A0" w:rsidRDefault="00F212A0" w:rsidP="00F212A0">
      <w:pPr>
        <w:pStyle w:val="font8"/>
        <w:jc w:val="both"/>
      </w:pPr>
      <w:r>
        <w:t>1.5.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F212A0" w:rsidRDefault="00F212A0" w:rsidP="00F212A0">
      <w:pPr>
        <w:pStyle w:val="font8"/>
        <w:jc w:val="both"/>
      </w:pPr>
      <w:r>
        <w:t>Деятельность Заказчика строительства не лицензируется и не требует допусков на работу от СРО</w:t>
      </w:r>
    </w:p>
    <w:p w:rsidR="00F212A0" w:rsidRDefault="00F212A0" w:rsidP="00F212A0">
      <w:pPr>
        <w:pStyle w:val="font8"/>
        <w:jc w:val="both"/>
      </w:pPr>
      <w:r>
        <w:t>Строительство будет осуществлять генподрядчик ООО «</w:t>
      </w:r>
      <w:proofErr w:type="gramStart"/>
      <w:r>
        <w:t>Мастер»  свидетельство</w:t>
      </w:r>
      <w:proofErr w:type="gramEnd"/>
      <w:r>
        <w:t xml:space="preserve"> № 582 о допуске к работам, которые оказывают влияние на безопасность объектов капитального строительства начало действия с 05 апреля 2010 г.,  выдало некоммерческое партнерство строителей саморегулируемая организация «</w:t>
      </w:r>
      <w:proofErr w:type="spellStart"/>
      <w:r>
        <w:t>СтройРегион</w:t>
      </w:r>
      <w:proofErr w:type="spellEnd"/>
      <w:r>
        <w:t>»</w:t>
      </w:r>
    </w:p>
    <w:p w:rsidR="00F212A0" w:rsidRDefault="00F212A0" w:rsidP="00F212A0">
      <w:pPr>
        <w:pStyle w:val="font8"/>
        <w:jc w:val="both"/>
      </w:pPr>
      <w:r>
        <w:t> </w:t>
      </w:r>
    </w:p>
    <w:p w:rsidR="00F212A0" w:rsidRDefault="00F212A0" w:rsidP="00F212A0">
      <w:pPr>
        <w:pStyle w:val="font8"/>
        <w:jc w:val="both"/>
      </w:pPr>
      <w:r>
        <w:t>1.6. 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F212A0" w:rsidRDefault="00F212A0" w:rsidP="00F212A0">
      <w:pPr>
        <w:pStyle w:val="font8"/>
        <w:jc w:val="both"/>
      </w:pPr>
      <w:r>
        <w:t xml:space="preserve">На 01.08.2014г. уставный капитал составляет 35 000 </w:t>
      </w:r>
      <w:proofErr w:type="gramStart"/>
      <w:r>
        <w:t>000  руб.</w:t>
      </w:r>
      <w:proofErr w:type="gramEnd"/>
      <w:r>
        <w:t>, предприятие  применяет общий режим налогообложения. Прибыль от деятельности предприятия формируется после сдачи объекта в эксплуатацию.</w:t>
      </w:r>
    </w:p>
    <w:p w:rsidR="00F212A0" w:rsidRDefault="00F212A0" w:rsidP="00F212A0">
      <w:pPr>
        <w:pStyle w:val="font8"/>
        <w:jc w:val="both"/>
      </w:pPr>
      <w:r>
        <w:t> </w:t>
      </w:r>
    </w:p>
    <w:p w:rsidR="00F212A0" w:rsidRDefault="00F212A0" w:rsidP="00F212A0">
      <w:pPr>
        <w:pStyle w:val="font8"/>
        <w:jc w:val="both"/>
      </w:pPr>
      <w:proofErr w:type="gramStart"/>
      <w:r>
        <w:t>1.6.1 .</w:t>
      </w:r>
      <w:proofErr w:type="gramEnd"/>
      <w:r>
        <w:t xml:space="preserve"> Отчетность о финансово-хозяйственной деятельности застройщика по установленным формам.</w:t>
      </w:r>
    </w:p>
    <w:p w:rsidR="00F212A0" w:rsidRDefault="00F212A0" w:rsidP="00F212A0">
      <w:pPr>
        <w:pStyle w:val="font8"/>
        <w:jc w:val="both"/>
      </w:pPr>
      <w:r>
        <w:lastRenderedPageBreak/>
        <w:t xml:space="preserve">Документы доступны для ознакомления в офисе Застройщика </w:t>
      </w:r>
      <w:proofErr w:type="gramStart"/>
      <w:r>
        <w:t>ООО  ФК</w:t>
      </w:r>
      <w:proofErr w:type="gramEnd"/>
      <w:r>
        <w:t xml:space="preserve"> «Деловые инвестиции»</w:t>
      </w:r>
    </w:p>
    <w:p w:rsidR="00F212A0" w:rsidRDefault="00F212A0" w:rsidP="00F212A0">
      <w:pPr>
        <w:pStyle w:val="font8"/>
        <w:jc w:val="both"/>
      </w:pPr>
      <w:r>
        <w:t> </w:t>
      </w:r>
    </w:p>
    <w:p w:rsidR="00F212A0" w:rsidRDefault="00F212A0" w:rsidP="00F212A0">
      <w:pPr>
        <w:pStyle w:val="font8"/>
        <w:jc w:val="both"/>
      </w:pPr>
      <w:r>
        <w:t>1.6.2.  Утвержденные годовые отчеты, бухгалтерские балансы, счета (распределение</w:t>
      </w:r>
    </w:p>
    <w:p w:rsidR="00F212A0" w:rsidRDefault="00F212A0" w:rsidP="00F212A0">
      <w:pPr>
        <w:pStyle w:val="font8"/>
        <w:jc w:val="both"/>
      </w:pPr>
      <w:r>
        <w:t>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F212A0" w:rsidRDefault="00F212A0" w:rsidP="00F212A0">
      <w:pPr>
        <w:pStyle w:val="font8"/>
        <w:jc w:val="both"/>
      </w:pPr>
      <w:r>
        <w:t xml:space="preserve">Документы доступны для ознакомления в офисе Застройщика ООО ФК «Деловые </w:t>
      </w:r>
      <w:proofErr w:type="gramStart"/>
      <w:r>
        <w:t>инвестиции »</w:t>
      </w:r>
      <w:proofErr w:type="gramEnd"/>
    </w:p>
    <w:p w:rsidR="00F212A0" w:rsidRDefault="00F212A0" w:rsidP="00F212A0">
      <w:pPr>
        <w:pStyle w:val="font8"/>
        <w:jc w:val="both"/>
      </w:pPr>
      <w:r>
        <w:t> </w:t>
      </w:r>
    </w:p>
    <w:p w:rsidR="00F212A0" w:rsidRDefault="00F212A0" w:rsidP="00F212A0">
      <w:pPr>
        <w:pStyle w:val="font8"/>
        <w:jc w:val="both"/>
      </w:pPr>
      <w:r>
        <w:t>1.6.3. Аудиторское заключение за последний год осуществления застройщиком предпринимательской деятельности.</w:t>
      </w:r>
    </w:p>
    <w:p w:rsidR="00F212A0" w:rsidRDefault="00F212A0" w:rsidP="00F212A0">
      <w:pPr>
        <w:pStyle w:val="font8"/>
        <w:jc w:val="both"/>
      </w:pPr>
      <w:r>
        <w:t>Документы доступны для ознакомления в офисе Застройщика ООО ФК «Деловые инвестиции»</w:t>
      </w:r>
    </w:p>
    <w:p w:rsidR="00F212A0" w:rsidRDefault="00F212A0" w:rsidP="00F212A0">
      <w:pPr>
        <w:pStyle w:val="font8"/>
        <w:jc w:val="both"/>
      </w:pPr>
      <w:r>
        <w:t> </w:t>
      </w:r>
    </w:p>
    <w:p w:rsidR="00F212A0" w:rsidRDefault="00F212A0" w:rsidP="00F212A0">
      <w:pPr>
        <w:pStyle w:val="font8"/>
        <w:jc w:val="both"/>
      </w:pPr>
      <w:r>
        <w:t>2.1. Цель проекта строительства.</w:t>
      </w:r>
    </w:p>
    <w:p w:rsidR="00F212A0" w:rsidRDefault="00F212A0" w:rsidP="00F212A0">
      <w:pPr>
        <w:pStyle w:val="font8"/>
        <w:jc w:val="both"/>
      </w:pPr>
      <w:r>
        <w:t xml:space="preserve">Строительство группы жилых домов с объектами сервиса. 1-я и 2-я очереди строительства, расположенных по адресу: Иркутская область, г. Иркутск, Куйбышевский район, м-н </w:t>
      </w:r>
      <w:proofErr w:type="spellStart"/>
      <w:r>
        <w:t>Топкинский</w:t>
      </w:r>
      <w:proofErr w:type="spellEnd"/>
      <w:r>
        <w:t>.</w:t>
      </w:r>
    </w:p>
    <w:p w:rsidR="00F212A0" w:rsidRDefault="00F212A0" w:rsidP="00F212A0">
      <w:pPr>
        <w:pStyle w:val="font8"/>
        <w:jc w:val="both"/>
      </w:pPr>
      <w:r>
        <w:t> </w:t>
      </w:r>
    </w:p>
    <w:p w:rsidR="00F212A0" w:rsidRDefault="00F212A0" w:rsidP="00F212A0">
      <w:pPr>
        <w:pStyle w:val="font8"/>
        <w:jc w:val="both"/>
      </w:pPr>
      <w:r>
        <w:t>2.1.1. Этапы и сроки реализации проекта:</w:t>
      </w:r>
      <w:r>
        <w:br/>
        <w:t xml:space="preserve">Начало строительства –  </w:t>
      </w:r>
      <w:proofErr w:type="gramStart"/>
      <w:r>
        <w:t>август  2014</w:t>
      </w:r>
      <w:proofErr w:type="gramEnd"/>
      <w:r>
        <w:t xml:space="preserve"> г.</w:t>
      </w:r>
      <w:r>
        <w:br/>
        <w:t>Окончание строительства – 4 квартал 2016 г.</w:t>
      </w:r>
      <w:r>
        <w:br/>
        <w:t> </w:t>
      </w:r>
    </w:p>
    <w:p w:rsidR="00F212A0" w:rsidRDefault="00F212A0" w:rsidP="00F212A0">
      <w:pPr>
        <w:pStyle w:val="font8"/>
        <w:jc w:val="both"/>
      </w:pPr>
      <w:r>
        <w:t>2.1.2. Результаты государственной экспертизы проектной документации.</w:t>
      </w:r>
    </w:p>
    <w:p w:rsidR="00F212A0" w:rsidRDefault="00F212A0" w:rsidP="00F212A0">
      <w:pPr>
        <w:pStyle w:val="font8"/>
        <w:jc w:val="both"/>
      </w:pPr>
      <w:r>
        <w:t>Положительное заключение № 97-37-0204/8 по проектной документации «Группа жилых домов с объектами сервиса в Куйбышевском районе г. Иркутска в микрорайоне Топкинский.1-я и 2-я очереди» от 30 сентября 2008 г., выдано Агентством государственной экспертизы в строительстве Иркутской области.</w:t>
      </w:r>
    </w:p>
    <w:p w:rsidR="00F212A0" w:rsidRDefault="00F212A0" w:rsidP="00F212A0">
      <w:pPr>
        <w:pStyle w:val="font8"/>
        <w:jc w:val="both"/>
      </w:pPr>
      <w:r>
        <w:t> </w:t>
      </w:r>
    </w:p>
    <w:p w:rsidR="00F212A0" w:rsidRDefault="00F212A0" w:rsidP="00F212A0">
      <w:pPr>
        <w:pStyle w:val="font8"/>
        <w:jc w:val="both"/>
      </w:pPr>
      <w:r>
        <w:t>2.2. Разрешение на строительство.</w:t>
      </w:r>
    </w:p>
    <w:p w:rsidR="00F212A0" w:rsidRDefault="00F212A0" w:rsidP="00F212A0">
      <w:pPr>
        <w:pStyle w:val="font8"/>
        <w:jc w:val="both"/>
      </w:pPr>
      <w:r>
        <w:t>Разрешение на строительство RU38303000-123/</w:t>
      </w:r>
      <w:proofErr w:type="gramStart"/>
      <w:r>
        <w:t>08  от</w:t>
      </w:r>
      <w:proofErr w:type="gramEnd"/>
      <w:r>
        <w:t xml:space="preserve"> 02.10.2008 года,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 Иркутска. Продлено от 23 июля 2014 года. Действие настоящего разрешения продлено до 31 декабря 2016 года.</w:t>
      </w:r>
    </w:p>
    <w:p w:rsidR="00F212A0" w:rsidRDefault="00F212A0" w:rsidP="00F212A0">
      <w:pPr>
        <w:pStyle w:val="font8"/>
        <w:jc w:val="both"/>
      </w:pPr>
      <w:r>
        <w:lastRenderedPageBreak/>
        <w:t> </w:t>
      </w:r>
    </w:p>
    <w:p w:rsidR="00F212A0" w:rsidRDefault="00F212A0" w:rsidP="00F212A0">
      <w:pPr>
        <w:pStyle w:val="font8"/>
        <w:jc w:val="both"/>
      </w:pPr>
      <w:r>
        <w:t>2.3. Договор аренды земельного участка.</w:t>
      </w:r>
    </w:p>
    <w:p w:rsidR="00F212A0" w:rsidRDefault="00F212A0" w:rsidP="00F212A0">
      <w:pPr>
        <w:pStyle w:val="font8"/>
        <w:jc w:val="both"/>
      </w:pPr>
      <w:r>
        <w:t xml:space="preserve">Договор аренды земельного </w:t>
      </w:r>
      <w:proofErr w:type="gramStart"/>
      <w:r>
        <w:t>участка  от</w:t>
      </w:r>
      <w:proofErr w:type="gramEnd"/>
      <w:r>
        <w:t xml:space="preserve"> 27.10.2014 г. № 211/14, заключенный с Министерством имущественных отношений Иркутской области. Распоряжение министра имущественных отношений Иркутской области от 27.10.2014 г. № 504/з.</w:t>
      </w:r>
    </w:p>
    <w:p w:rsidR="00F212A0" w:rsidRDefault="00F212A0" w:rsidP="00F212A0">
      <w:pPr>
        <w:pStyle w:val="font8"/>
        <w:jc w:val="both"/>
      </w:pPr>
      <w:r>
        <w:t> </w:t>
      </w:r>
    </w:p>
    <w:p w:rsidR="00F212A0" w:rsidRDefault="00F212A0" w:rsidP="00F212A0">
      <w:pPr>
        <w:pStyle w:val="font8"/>
        <w:jc w:val="both"/>
      </w:pPr>
      <w:r>
        <w:t>2.3.1. Собственник земельного участка.</w:t>
      </w:r>
    </w:p>
    <w:p w:rsidR="00F212A0" w:rsidRDefault="00F212A0" w:rsidP="00F212A0">
      <w:pPr>
        <w:pStyle w:val="font8"/>
        <w:jc w:val="both"/>
      </w:pPr>
      <w:r>
        <w:t>Администрация Иркутской области</w:t>
      </w:r>
    </w:p>
    <w:p w:rsidR="00F212A0" w:rsidRDefault="00F212A0" w:rsidP="00F212A0">
      <w:pPr>
        <w:pStyle w:val="font8"/>
        <w:jc w:val="both"/>
      </w:pPr>
      <w:r>
        <w:t> </w:t>
      </w:r>
    </w:p>
    <w:p w:rsidR="00F212A0" w:rsidRDefault="00F212A0" w:rsidP="00F212A0">
      <w:pPr>
        <w:pStyle w:val="font8"/>
        <w:jc w:val="both"/>
      </w:pPr>
      <w:r>
        <w:t>2.3.2. Граница и площадь земельного участка по проекту.</w:t>
      </w:r>
      <w:r>
        <w:br/>
        <w:t xml:space="preserve">Кадастровый номер 38:36:000013:17105. Площадь: 12 308 +/- </w:t>
      </w:r>
      <w:proofErr w:type="gramStart"/>
      <w:r>
        <w:t>39  кв.</w:t>
      </w:r>
      <w:proofErr w:type="gramEnd"/>
      <w:r>
        <w:t xml:space="preserve"> м.</w:t>
      </w:r>
    </w:p>
    <w:p w:rsidR="00F212A0" w:rsidRDefault="00F212A0" w:rsidP="00F212A0">
      <w:pPr>
        <w:pStyle w:val="font8"/>
        <w:jc w:val="both"/>
      </w:pPr>
      <w:r>
        <w:t> </w:t>
      </w:r>
    </w:p>
    <w:p w:rsidR="00F212A0" w:rsidRDefault="00F212A0" w:rsidP="00F212A0">
      <w:pPr>
        <w:pStyle w:val="font8"/>
        <w:jc w:val="both"/>
      </w:pPr>
      <w:r>
        <w:t>2.3.3. Элементы благоустройства.</w:t>
      </w:r>
    </w:p>
    <w:p w:rsidR="00F212A0" w:rsidRDefault="00F212A0" w:rsidP="00F212A0">
      <w:pPr>
        <w:pStyle w:val="font8"/>
        <w:jc w:val="both"/>
      </w:pPr>
      <w:r>
        <w:t xml:space="preserve">Благоустройство и озеленение в границах отведенной территории предусмотрено: устройство тротуаров, проезжая часть с асфальтовым покрытием, установка бордюрного камня, устройство газонов, площадка для отдыха взрослого населения, закрытые </w:t>
      </w:r>
      <w:proofErr w:type="gramStart"/>
      <w:r>
        <w:t>и  открытые</w:t>
      </w:r>
      <w:proofErr w:type="gramEnd"/>
      <w:r>
        <w:t xml:space="preserve"> автомобильные парковки.</w:t>
      </w:r>
    </w:p>
    <w:p w:rsidR="00F212A0" w:rsidRDefault="00F212A0" w:rsidP="00F212A0">
      <w:pPr>
        <w:pStyle w:val="font8"/>
        <w:jc w:val="both"/>
      </w:pPr>
      <w:r>
        <w:t> </w:t>
      </w:r>
    </w:p>
    <w:p w:rsidR="00F212A0" w:rsidRDefault="00F212A0" w:rsidP="00F212A0">
      <w:pPr>
        <w:pStyle w:val="font8"/>
        <w:jc w:val="both"/>
      </w:pPr>
      <w:r>
        <w:t>2.4. Местонахождение строящейся группы жилых домов.</w:t>
      </w:r>
    </w:p>
    <w:p w:rsidR="00F212A0" w:rsidRDefault="00F212A0" w:rsidP="00F212A0">
      <w:pPr>
        <w:pStyle w:val="font8"/>
        <w:jc w:val="both"/>
      </w:pPr>
      <w:r>
        <w:t xml:space="preserve">Иркутская область, г. Иркутск, Куйбышевский район, м-н </w:t>
      </w:r>
      <w:proofErr w:type="spellStart"/>
      <w:r>
        <w:t>Топкинский</w:t>
      </w:r>
      <w:proofErr w:type="spellEnd"/>
      <w:r>
        <w:t>.</w:t>
      </w:r>
    </w:p>
    <w:p w:rsidR="00F212A0" w:rsidRDefault="00F212A0" w:rsidP="00F212A0">
      <w:pPr>
        <w:pStyle w:val="font8"/>
        <w:jc w:val="both"/>
      </w:pPr>
      <w:r>
        <w:t> </w:t>
      </w:r>
    </w:p>
    <w:p w:rsidR="00F212A0" w:rsidRDefault="00F212A0" w:rsidP="00F212A0">
      <w:pPr>
        <w:pStyle w:val="font8"/>
        <w:jc w:val="both"/>
      </w:pPr>
      <w:r>
        <w:t>2.4.1. Описание группы жилых домов с объектами сервиса (по проекту).</w:t>
      </w:r>
    </w:p>
    <w:p w:rsidR="00F212A0" w:rsidRDefault="00F212A0" w:rsidP="00F212A0">
      <w:pPr>
        <w:pStyle w:val="font8"/>
        <w:jc w:val="both"/>
      </w:pPr>
      <w:r>
        <w:t>Жилой дом с объектами сервиса б/с 1-1</w:t>
      </w:r>
      <w:r>
        <w:br/>
        <w:t>количество этажей-15</w:t>
      </w:r>
    </w:p>
    <w:p w:rsidR="00F212A0" w:rsidRDefault="00F212A0" w:rsidP="00F212A0">
      <w:pPr>
        <w:pStyle w:val="font8"/>
        <w:jc w:val="both"/>
      </w:pPr>
      <w:r>
        <w:t>количество квартир-105</w:t>
      </w:r>
      <w:r>
        <w:br/>
        <w:t>общая площадь – 6342 кв. м.</w:t>
      </w:r>
      <w:r>
        <w:br/>
        <w:t>строительный объем –  29 965,6 куб. м.</w:t>
      </w:r>
    </w:p>
    <w:p w:rsidR="00F212A0" w:rsidRDefault="00F212A0" w:rsidP="00F212A0">
      <w:pPr>
        <w:pStyle w:val="font8"/>
        <w:jc w:val="both"/>
      </w:pPr>
      <w:r>
        <w:t> </w:t>
      </w:r>
    </w:p>
    <w:p w:rsidR="00F212A0" w:rsidRDefault="00F212A0" w:rsidP="00F212A0">
      <w:pPr>
        <w:pStyle w:val="font8"/>
        <w:jc w:val="both"/>
      </w:pPr>
      <w:r>
        <w:t>Жилой дом с объектами сервиса б/с 1-2</w:t>
      </w:r>
      <w:r>
        <w:br/>
        <w:t>количество этажей-12</w:t>
      </w:r>
    </w:p>
    <w:p w:rsidR="00F212A0" w:rsidRDefault="00F212A0" w:rsidP="00F212A0">
      <w:pPr>
        <w:pStyle w:val="font8"/>
        <w:jc w:val="both"/>
      </w:pPr>
      <w:r>
        <w:lastRenderedPageBreak/>
        <w:t>количество квартир-60</w:t>
      </w:r>
      <w:r>
        <w:br/>
        <w:t>общая площадь – 4439 кв. м.</w:t>
      </w:r>
      <w:r>
        <w:br/>
        <w:t>строительный объем –  22 899, куб. м.</w:t>
      </w:r>
    </w:p>
    <w:p w:rsidR="00F212A0" w:rsidRDefault="00F212A0" w:rsidP="00F212A0">
      <w:pPr>
        <w:pStyle w:val="font8"/>
        <w:jc w:val="both"/>
      </w:pPr>
      <w:r>
        <w:t> </w:t>
      </w:r>
    </w:p>
    <w:p w:rsidR="00F212A0" w:rsidRDefault="00F212A0" w:rsidP="00F212A0">
      <w:pPr>
        <w:pStyle w:val="font8"/>
        <w:jc w:val="both"/>
      </w:pPr>
      <w:r>
        <w:t>Жилой дом с объектами сервиса б/с 2-1</w:t>
      </w:r>
      <w:r>
        <w:br/>
        <w:t>количество этажей-15</w:t>
      </w:r>
    </w:p>
    <w:p w:rsidR="00F212A0" w:rsidRDefault="00F212A0" w:rsidP="00F212A0">
      <w:pPr>
        <w:pStyle w:val="font8"/>
        <w:jc w:val="both"/>
      </w:pPr>
      <w:r>
        <w:t>количество квартир-105</w:t>
      </w:r>
      <w:r>
        <w:br/>
        <w:t>общая площадь – 6337 кв. м.</w:t>
      </w:r>
      <w:r>
        <w:br/>
        <w:t>строительный объем –  29 965,6, куб. м.</w:t>
      </w:r>
    </w:p>
    <w:p w:rsidR="00F212A0" w:rsidRDefault="00F212A0" w:rsidP="00F212A0">
      <w:pPr>
        <w:pStyle w:val="font8"/>
        <w:jc w:val="both"/>
      </w:pPr>
      <w:r>
        <w:t> </w:t>
      </w:r>
    </w:p>
    <w:p w:rsidR="00F212A0" w:rsidRDefault="00F212A0" w:rsidP="00F212A0">
      <w:pPr>
        <w:pStyle w:val="font8"/>
        <w:jc w:val="both"/>
      </w:pPr>
      <w:r>
        <w:t>Жилой дом с объектами сервиса б/с 2-2</w:t>
      </w:r>
      <w:r>
        <w:br/>
        <w:t>количество этажей-12</w:t>
      </w:r>
    </w:p>
    <w:p w:rsidR="00F212A0" w:rsidRDefault="00F212A0" w:rsidP="00F212A0">
      <w:pPr>
        <w:pStyle w:val="font8"/>
        <w:jc w:val="both"/>
      </w:pPr>
      <w:r>
        <w:t>количество квартир-60</w:t>
      </w:r>
      <w:r>
        <w:br/>
        <w:t>общая площадь – 4476 кв. м.</w:t>
      </w:r>
      <w:r>
        <w:br/>
        <w:t>строительный объем –  22 899,3 куб. м.</w:t>
      </w:r>
    </w:p>
    <w:p w:rsidR="00F212A0" w:rsidRDefault="00F212A0" w:rsidP="00F212A0">
      <w:pPr>
        <w:pStyle w:val="font8"/>
        <w:jc w:val="both"/>
      </w:pPr>
      <w:r>
        <w:t> </w:t>
      </w:r>
    </w:p>
    <w:p w:rsidR="00F212A0" w:rsidRDefault="00F212A0" w:rsidP="00F212A0">
      <w:pPr>
        <w:pStyle w:val="font8"/>
        <w:jc w:val="both"/>
      </w:pPr>
      <w:r>
        <w:t>Фундаменты – ленточные. Конструктивная схема – стены и перекрытия из монолитного железобетона, наружные стены – трехслойные, кровли – чердачная, стропильная, с организованным водостоком.</w:t>
      </w:r>
    </w:p>
    <w:p w:rsidR="00F212A0" w:rsidRDefault="00F212A0" w:rsidP="00F212A0">
      <w:pPr>
        <w:pStyle w:val="font8"/>
        <w:jc w:val="both"/>
      </w:pPr>
      <w:r>
        <w:t> </w:t>
      </w:r>
    </w:p>
    <w:p w:rsidR="00F212A0" w:rsidRDefault="00F212A0" w:rsidP="00F212A0">
      <w:pPr>
        <w:pStyle w:val="font8"/>
        <w:jc w:val="both"/>
      </w:pPr>
      <w:r>
        <w:t xml:space="preserve">2.6. О составе общего имущества в административном здании, которое будет находиться в общей долевой собственности участников долевого строительства после получения разрешения на </w:t>
      </w:r>
      <w:proofErr w:type="gramStart"/>
      <w:r>
        <w:t>ввод  дома</w:t>
      </w:r>
      <w:proofErr w:type="gramEnd"/>
      <w:r>
        <w:t xml:space="preserve"> в эксплуатацию и передачи объектов долевого строительства участникам долевого строительства:</w:t>
      </w:r>
    </w:p>
    <w:p w:rsidR="00F212A0" w:rsidRDefault="00F212A0" w:rsidP="00F212A0">
      <w:pPr>
        <w:pStyle w:val="font8"/>
        <w:jc w:val="both"/>
      </w:pPr>
      <w:r>
        <w:t>- Крыши, крыльца, лестницы, вспомогательные (технические) площади, обеспечивающие эксплуатацию здания – тепловых узлов, водомерных узлов;</w:t>
      </w:r>
    </w:p>
    <w:p w:rsidR="00F212A0" w:rsidRDefault="00F212A0" w:rsidP="00F212A0">
      <w:pPr>
        <w:pStyle w:val="font8"/>
        <w:jc w:val="both"/>
      </w:pPr>
      <w:r>
        <w:t>- Внутридомовые системы и оборудование, обеспечивающие эксплуатацию здания: системы отопления, водопровода и канализации, электроосвещения, сети связи и телекоммуникаций, насосная станция и прочее;</w:t>
      </w:r>
    </w:p>
    <w:p w:rsidR="00F212A0" w:rsidRDefault="00F212A0" w:rsidP="00F212A0">
      <w:pPr>
        <w:pStyle w:val="font8"/>
        <w:jc w:val="both"/>
      </w:pPr>
      <w:r>
        <w:t xml:space="preserve">- внеплощадочные и </w:t>
      </w:r>
      <w:proofErr w:type="gramStart"/>
      <w:r>
        <w:t>внутриплощадочные инженерные сети</w:t>
      </w:r>
      <w:proofErr w:type="gramEnd"/>
      <w:r>
        <w:t xml:space="preserve"> и инженерные объекты (трансформаторные подстанции и пр.), обеспечивающие устойчивую эксплуатацию зданий: теплоснабжение, электроснабжение, водоснабжение, канализация, наружное освещение, телефонизация;</w:t>
      </w:r>
    </w:p>
    <w:p w:rsidR="00F212A0" w:rsidRDefault="00F212A0" w:rsidP="00F212A0">
      <w:pPr>
        <w:pStyle w:val="font8"/>
        <w:jc w:val="both"/>
      </w:pPr>
      <w:r>
        <w:t>- земельный участок, на котором расположены строящиеся здания и сооружения, с элементами озеленения и благоустройства.</w:t>
      </w:r>
    </w:p>
    <w:p w:rsidR="00F212A0" w:rsidRDefault="00F212A0" w:rsidP="00F212A0">
      <w:pPr>
        <w:pStyle w:val="font8"/>
        <w:jc w:val="both"/>
      </w:pPr>
      <w:r>
        <w:t> </w:t>
      </w:r>
    </w:p>
    <w:p w:rsidR="00F212A0" w:rsidRDefault="00F212A0" w:rsidP="00F212A0">
      <w:pPr>
        <w:pStyle w:val="font8"/>
        <w:jc w:val="both"/>
      </w:pPr>
      <w:r>
        <w:lastRenderedPageBreak/>
        <w:t>2.7. Предполагаемый срок получения разрешения на ввод в эксплуатацию:</w:t>
      </w:r>
    </w:p>
    <w:p w:rsidR="00F212A0" w:rsidRDefault="00F212A0" w:rsidP="00F212A0">
      <w:pPr>
        <w:pStyle w:val="font8"/>
        <w:jc w:val="both"/>
      </w:pPr>
      <w:r>
        <w:br/>
        <w:t> 4 квартал 2016 года</w:t>
      </w:r>
    </w:p>
    <w:p w:rsidR="00F212A0" w:rsidRDefault="00F212A0" w:rsidP="00F212A0">
      <w:pPr>
        <w:pStyle w:val="font8"/>
        <w:jc w:val="both"/>
      </w:pPr>
      <w:r>
        <w:t> </w:t>
      </w:r>
    </w:p>
    <w:p w:rsidR="00F212A0" w:rsidRDefault="00F212A0" w:rsidP="00F212A0">
      <w:pPr>
        <w:pStyle w:val="font8"/>
        <w:jc w:val="both"/>
      </w:pPr>
      <w:r>
        <w:t>2.8. Перечень организаций, представители которых участвуют в приемке многоквартирных домов.</w:t>
      </w:r>
    </w:p>
    <w:p w:rsidR="00F212A0" w:rsidRDefault="00F212A0" w:rsidP="00F212A0">
      <w:pPr>
        <w:pStyle w:val="font8"/>
        <w:numPr>
          <w:ilvl w:val="0"/>
          <w:numId w:val="3"/>
        </w:numPr>
        <w:jc w:val="both"/>
      </w:pPr>
      <w:r>
        <w:rPr>
          <w:b/>
          <w:bCs/>
        </w:rPr>
        <w:t>Отдел выдачи разрешительной документации Департамента реализации градостроительной политики комитета по градостроительной политики Администрации г. Иркутска;</w:t>
      </w:r>
    </w:p>
    <w:p w:rsidR="00F212A0" w:rsidRDefault="00F212A0" w:rsidP="00F212A0">
      <w:pPr>
        <w:pStyle w:val="font8"/>
        <w:numPr>
          <w:ilvl w:val="0"/>
          <w:numId w:val="3"/>
        </w:numPr>
        <w:jc w:val="both"/>
      </w:pPr>
      <w:r>
        <w:rPr>
          <w:b/>
          <w:bCs/>
        </w:rPr>
        <w:t>Служба государственного жилищного и строительного надзора Иркутской области.</w:t>
      </w:r>
    </w:p>
    <w:p w:rsidR="00F212A0" w:rsidRDefault="00F212A0" w:rsidP="00F212A0">
      <w:pPr>
        <w:pStyle w:val="font8"/>
        <w:jc w:val="both"/>
      </w:pPr>
      <w:r>
        <w:t> </w:t>
      </w:r>
    </w:p>
    <w:p w:rsidR="00F212A0" w:rsidRDefault="00F212A0" w:rsidP="00F212A0">
      <w:pPr>
        <w:pStyle w:val="font8"/>
        <w:jc w:val="both"/>
      </w:pPr>
      <w:r>
        <w:t>2.9. Возможные финансовые и прочие риски при осуществлении проекта строительства</w:t>
      </w:r>
    </w:p>
    <w:p w:rsidR="00F212A0" w:rsidRDefault="00F212A0" w:rsidP="00F212A0">
      <w:pPr>
        <w:pStyle w:val="font8"/>
        <w:jc w:val="both"/>
      </w:pPr>
      <w:r>
        <w:t>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w:t>
      </w:r>
    </w:p>
    <w:p w:rsidR="00F212A0" w:rsidRDefault="00F212A0" w:rsidP="00F212A0">
      <w:pPr>
        <w:pStyle w:val="font8"/>
        <w:jc w:val="both"/>
      </w:pPr>
      <w:r>
        <w:t> </w:t>
      </w:r>
    </w:p>
    <w:p w:rsidR="00F212A0" w:rsidRDefault="00F212A0" w:rsidP="00F212A0">
      <w:pPr>
        <w:pStyle w:val="font8"/>
        <w:jc w:val="both"/>
      </w:pPr>
      <w:r>
        <w:t>2.9.1. Меры по добровольному страхованию рисков</w:t>
      </w:r>
    </w:p>
    <w:p w:rsidR="00F212A0" w:rsidRDefault="00F212A0" w:rsidP="00F212A0">
      <w:pPr>
        <w:pStyle w:val="font8"/>
        <w:jc w:val="both"/>
      </w:pPr>
      <w:r>
        <w:t xml:space="preserve">Все договоры долевого участия регистрируются в </w:t>
      </w:r>
      <w:proofErr w:type="gramStart"/>
      <w:r>
        <w:t xml:space="preserve">Управлении  </w:t>
      </w:r>
      <w:proofErr w:type="spellStart"/>
      <w:r>
        <w:t>Росреестра</w:t>
      </w:r>
      <w:proofErr w:type="spellEnd"/>
      <w:proofErr w:type="gramEnd"/>
      <w:r>
        <w:br/>
        <w:t>по Иркутской области, что исключает риск двойной продажи объектов долевого участия и гарантирует юридическую чистоту сделки.</w:t>
      </w:r>
    </w:p>
    <w:p w:rsidR="00F212A0" w:rsidRDefault="00F212A0" w:rsidP="00F212A0">
      <w:pPr>
        <w:pStyle w:val="font8"/>
        <w:jc w:val="both"/>
      </w:pPr>
      <w:r>
        <w:t>Договоры долевого участия в строительстве можно застраховать от всех финансовых рисков в страховых компаниях города.</w:t>
      </w:r>
    </w:p>
    <w:p w:rsidR="00F212A0" w:rsidRDefault="00F212A0" w:rsidP="00F212A0">
      <w:pPr>
        <w:pStyle w:val="font8"/>
        <w:jc w:val="both"/>
      </w:pPr>
      <w:r>
        <w:t> </w:t>
      </w:r>
    </w:p>
    <w:p w:rsidR="00F212A0" w:rsidRDefault="00F212A0" w:rsidP="00F212A0">
      <w:pPr>
        <w:pStyle w:val="font8"/>
        <w:jc w:val="both"/>
      </w:pPr>
      <w:r>
        <w:t>2.9.2. Планируемая стоимость строительства</w:t>
      </w:r>
    </w:p>
    <w:p w:rsidR="00F212A0" w:rsidRDefault="00F212A0" w:rsidP="00F212A0">
      <w:pPr>
        <w:pStyle w:val="font8"/>
        <w:jc w:val="both"/>
      </w:pPr>
      <w:r>
        <w:t>700 млн. руб.</w:t>
      </w:r>
    </w:p>
    <w:p w:rsidR="00F212A0" w:rsidRDefault="00F212A0" w:rsidP="00F212A0">
      <w:pPr>
        <w:pStyle w:val="font8"/>
        <w:jc w:val="both"/>
      </w:pPr>
      <w:r>
        <w:t> </w:t>
      </w:r>
    </w:p>
    <w:p w:rsidR="00F212A0" w:rsidRDefault="00F212A0" w:rsidP="00F212A0">
      <w:pPr>
        <w:pStyle w:val="font8"/>
        <w:jc w:val="both"/>
      </w:pPr>
      <w:r>
        <w:t>2.10. Перечень организаций – подрядчиков, осуществляющих основные строительно-монтажные и другие работы.</w:t>
      </w:r>
    </w:p>
    <w:p w:rsidR="00F212A0" w:rsidRDefault="00F212A0" w:rsidP="00F212A0">
      <w:pPr>
        <w:pStyle w:val="font8"/>
        <w:jc w:val="both"/>
      </w:pPr>
      <w:r>
        <w:t>           Генподрядчик:</w:t>
      </w:r>
    </w:p>
    <w:p w:rsidR="00F212A0" w:rsidRDefault="00F212A0" w:rsidP="00F212A0">
      <w:pPr>
        <w:pStyle w:val="font8"/>
        <w:numPr>
          <w:ilvl w:val="0"/>
          <w:numId w:val="4"/>
        </w:numPr>
        <w:jc w:val="both"/>
      </w:pPr>
      <w:r>
        <w:rPr>
          <w:b/>
          <w:bCs/>
        </w:rPr>
        <w:t>ООО «Мастер»;</w:t>
      </w:r>
    </w:p>
    <w:p w:rsidR="00F212A0" w:rsidRDefault="00F212A0" w:rsidP="00F212A0">
      <w:pPr>
        <w:pStyle w:val="font8"/>
        <w:jc w:val="both"/>
      </w:pPr>
      <w:r>
        <w:lastRenderedPageBreak/>
        <w:t> </w:t>
      </w:r>
    </w:p>
    <w:p w:rsidR="00F212A0" w:rsidRDefault="00F212A0" w:rsidP="00F212A0">
      <w:pPr>
        <w:pStyle w:val="font8"/>
        <w:jc w:val="both"/>
      </w:pPr>
      <w:r>
        <w:t>2.11. О способе обеспечения исполнения обязательств застройщика по договору</w:t>
      </w:r>
    </w:p>
    <w:p w:rsidR="00F212A0" w:rsidRDefault="00F212A0" w:rsidP="00F212A0">
      <w:pPr>
        <w:pStyle w:val="font8"/>
        <w:jc w:val="both"/>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административного здания с подземной автостоянкой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 земельном участке административное здание с подземной автостоянкой и (или) иной объект недвижимости</w:t>
      </w:r>
    </w:p>
    <w:p w:rsidR="00F212A0" w:rsidRDefault="00F212A0" w:rsidP="00F212A0">
      <w:pPr>
        <w:pStyle w:val="font8"/>
        <w:jc w:val="both"/>
      </w:pPr>
      <w:r>
        <w:t> </w:t>
      </w:r>
    </w:p>
    <w:p w:rsidR="00F212A0" w:rsidRDefault="00F212A0" w:rsidP="00F212A0">
      <w:pPr>
        <w:pStyle w:val="font8"/>
        <w:jc w:val="both"/>
      </w:pPr>
      <w:r>
        <w:t>2.12. Об иных договорах и сделках, на основании которых привлекаются денежные средства</w:t>
      </w:r>
    </w:p>
    <w:p w:rsidR="00F212A0" w:rsidRDefault="00F212A0" w:rsidP="00F212A0">
      <w:pPr>
        <w:pStyle w:val="font8"/>
        <w:jc w:val="both"/>
      </w:pPr>
      <w: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F212A0" w:rsidRDefault="00F212A0" w:rsidP="00F212A0">
      <w:pPr>
        <w:pStyle w:val="font8"/>
        <w:jc w:val="both"/>
      </w:pPr>
      <w:r>
        <w:t> </w:t>
      </w:r>
    </w:p>
    <w:p w:rsidR="00F212A0" w:rsidRDefault="00F212A0" w:rsidP="00F212A0">
      <w:pPr>
        <w:pStyle w:val="font8"/>
        <w:jc w:val="both"/>
      </w:pPr>
      <w:r>
        <w:t xml:space="preserve">Проектная декларация опубликована на </w:t>
      </w:r>
      <w:proofErr w:type="gramStart"/>
      <w:r>
        <w:t>сайте  http://www.topkinsky.ru</w:t>
      </w:r>
      <w:proofErr w:type="gramEnd"/>
      <w:r>
        <w:t xml:space="preserve">  19.11.2014 года.</w:t>
      </w:r>
    </w:p>
    <w:p w:rsidR="00F212A0" w:rsidRDefault="00F212A0" w:rsidP="00F212A0">
      <w:pPr>
        <w:pStyle w:val="font8"/>
        <w:jc w:val="both"/>
      </w:pPr>
      <w:r>
        <w:t> </w:t>
      </w:r>
    </w:p>
    <w:p w:rsidR="00F212A0" w:rsidRDefault="00F212A0" w:rsidP="00F212A0">
      <w:pPr>
        <w:pStyle w:val="font8"/>
        <w:jc w:val="both"/>
      </w:pPr>
      <w:r>
        <w:t> </w:t>
      </w:r>
    </w:p>
    <w:p w:rsidR="00F212A0" w:rsidRDefault="00F212A0" w:rsidP="00F212A0">
      <w:pPr>
        <w:pStyle w:val="font8"/>
        <w:jc w:val="both"/>
      </w:pPr>
      <w:r>
        <w:t xml:space="preserve">Директор ООО ФК «Деловые </w:t>
      </w:r>
      <w:proofErr w:type="gramStart"/>
      <w:r>
        <w:t xml:space="preserve">инвестиции»   </w:t>
      </w:r>
      <w:proofErr w:type="gramEnd"/>
      <w:r>
        <w:t xml:space="preserve">                                                       </w:t>
      </w:r>
      <w:proofErr w:type="spellStart"/>
      <w:r>
        <w:t>Домашин</w:t>
      </w:r>
      <w:proofErr w:type="spellEnd"/>
      <w:r>
        <w:t xml:space="preserve"> М.П.</w:t>
      </w:r>
      <w:r>
        <w:t> </w:t>
      </w:r>
    </w:p>
    <w:p w:rsidR="00F212A0" w:rsidRDefault="00F212A0" w:rsidP="00F212A0">
      <w:pPr>
        <w:pStyle w:val="font8"/>
        <w:jc w:val="both"/>
      </w:pPr>
      <w:r>
        <w:t> </w:t>
      </w:r>
    </w:p>
    <w:p w:rsidR="00F212A0" w:rsidRDefault="00F212A0" w:rsidP="00F212A0">
      <w:pPr>
        <w:pStyle w:val="font8"/>
        <w:jc w:val="right"/>
      </w:pPr>
      <w:bookmarkStart w:id="0" w:name="_GoBack"/>
      <w:bookmarkEnd w:id="0"/>
      <w:r>
        <w:t> </w:t>
      </w:r>
      <w:r>
        <w:rPr>
          <w:noProof/>
        </w:rPr>
        <w:drawing>
          <wp:inline distT="0" distB="0" distL="0" distR="0">
            <wp:extent cx="2057400" cy="1971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d27f_4a9e00ce05e44440b8aae9019e9ea3f7.jpg"/>
                    <pic:cNvPicPr/>
                  </pic:nvPicPr>
                  <pic:blipFill>
                    <a:blip r:embed="rId5">
                      <a:extLst>
                        <a:ext uri="{28A0092B-C50C-407E-A947-70E740481C1C}">
                          <a14:useLocalDpi xmlns:a14="http://schemas.microsoft.com/office/drawing/2010/main" val="0"/>
                        </a:ext>
                      </a:extLst>
                    </a:blip>
                    <a:stretch>
                      <a:fillRect/>
                    </a:stretch>
                  </pic:blipFill>
                  <pic:spPr>
                    <a:xfrm>
                      <a:off x="0" y="0"/>
                      <a:ext cx="2057400" cy="1971675"/>
                    </a:xfrm>
                    <a:prstGeom prst="rect">
                      <a:avLst/>
                    </a:prstGeom>
                  </pic:spPr>
                </pic:pic>
              </a:graphicData>
            </a:graphic>
          </wp:inline>
        </w:drawing>
      </w:r>
    </w:p>
    <w:p w:rsidR="00F212A0" w:rsidRDefault="00F212A0" w:rsidP="00F212A0">
      <w:pPr>
        <w:pStyle w:val="font8"/>
        <w:jc w:val="both"/>
      </w:pPr>
    </w:p>
    <w:p w:rsidR="00343C59" w:rsidRDefault="00343C59" w:rsidP="00F212A0">
      <w:pPr>
        <w:jc w:val="both"/>
      </w:pPr>
    </w:p>
    <w:sectPr w:rsidR="0034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2ADF"/>
    <w:multiLevelType w:val="multilevel"/>
    <w:tmpl w:val="E84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13553"/>
    <w:multiLevelType w:val="multilevel"/>
    <w:tmpl w:val="D73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D3E59"/>
    <w:multiLevelType w:val="multilevel"/>
    <w:tmpl w:val="603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C532D"/>
    <w:multiLevelType w:val="multilevel"/>
    <w:tmpl w:val="77F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A0"/>
    <w:rsid w:val="00343C59"/>
    <w:rsid w:val="00F2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3E95"/>
  <w15:chartTrackingRefBased/>
  <w15:docId w15:val="{C3015EA0-19F8-46E3-A283-4494D60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21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4521">
      <w:bodyDiv w:val="1"/>
      <w:marLeft w:val="0"/>
      <w:marRight w:val="0"/>
      <w:marTop w:val="0"/>
      <w:marBottom w:val="0"/>
      <w:divBdr>
        <w:top w:val="none" w:sz="0" w:space="0" w:color="auto"/>
        <w:left w:val="none" w:sz="0" w:space="0" w:color="auto"/>
        <w:bottom w:val="none" w:sz="0" w:space="0" w:color="auto"/>
        <w:right w:val="none" w:sz="0" w:space="0" w:color="auto"/>
      </w:divBdr>
      <w:divsChild>
        <w:div w:id="188710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Житнов</dc:creator>
  <cp:keywords/>
  <dc:description/>
  <cp:lastModifiedBy>Дмитрий Житнов</cp:lastModifiedBy>
  <cp:revision>1</cp:revision>
  <dcterms:created xsi:type="dcterms:W3CDTF">2016-03-17T08:45:00Z</dcterms:created>
  <dcterms:modified xsi:type="dcterms:W3CDTF">2016-03-17T08:48:00Z</dcterms:modified>
</cp:coreProperties>
</file>